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Spec="top"/>
        <w:tblW w:w="5000" w:type="pct"/>
        <w:tblCellSpacing w:w="0" w:type="dxa"/>
        <w:tblCellMar>
          <w:top w:w="30" w:type="dxa"/>
          <w:left w:w="30" w:type="dxa"/>
          <w:bottom w:w="30" w:type="dxa"/>
          <w:right w:w="30" w:type="dxa"/>
        </w:tblCellMar>
        <w:tblLook w:val="04A0"/>
      </w:tblPr>
      <w:tblGrid>
        <w:gridCol w:w="876"/>
        <w:gridCol w:w="134"/>
        <w:gridCol w:w="3893"/>
        <w:gridCol w:w="3095"/>
      </w:tblGrid>
      <w:tr w:rsidR="003772B6" w:rsidRPr="003772B6" w:rsidTr="003772B6">
        <w:trPr>
          <w:tblCellSpacing w:w="0" w:type="dxa"/>
        </w:trPr>
        <w:tc>
          <w:tcPr>
            <w:tcW w:w="547" w:type="pct"/>
            <w:tcBorders>
              <w:top w:val="nil"/>
              <w:left w:val="nil"/>
              <w:bottom w:val="nil"/>
              <w:right w:val="nil"/>
            </w:tcBorders>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Times New Roman" w:eastAsia="Times New Roman" w:hAnsi="Times New Roman" w:cs="Times New Roman"/>
                <w:sz w:val="24"/>
                <w:szCs w:val="24"/>
              </w:rPr>
              <w:t>Judul</w:t>
            </w:r>
          </w:p>
        </w:tc>
        <w:tc>
          <w:tcPr>
            <w:tcW w:w="84" w:type="pct"/>
            <w:tcBorders>
              <w:top w:val="nil"/>
              <w:left w:val="nil"/>
              <w:bottom w:val="nil"/>
              <w:right w:val="nil"/>
            </w:tcBorders>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Times New Roman" w:eastAsia="Times New Roman" w:hAnsi="Times New Roman" w:cs="Times New Roman"/>
                <w:sz w:val="24"/>
                <w:szCs w:val="24"/>
              </w:rPr>
              <w:t>:</w:t>
            </w:r>
          </w:p>
        </w:tc>
        <w:tc>
          <w:tcPr>
            <w:tcW w:w="2434" w:type="pct"/>
            <w:tcBorders>
              <w:top w:val="nil"/>
              <w:left w:val="nil"/>
              <w:bottom w:val="nil"/>
              <w:right w:val="nil"/>
            </w:tcBorders>
            <w:vAlign w:val="center"/>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bookmarkStart w:id="0" w:name="OLE_LINK11"/>
            <w:bookmarkStart w:id="1" w:name="OLE_LINK12"/>
            <w:r w:rsidRPr="003772B6">
              <w:rPr>
                <w:rFonts w:ascii="Times New Roman" w:eastAsia="Times New Roman" w:hAnsi="Times New Roman" w:cs="Times New Roman"/>
                <w:b/>
                <w:bCs/>
                <w:sz w:val="24"/>
                <w:szCs w:val="24"/>
              </w:rPr>
              <w:t>Formulasi Campuran Natrium Bisulfat Sebagai Katalis Dehidrasi Minyak</w:t>
            </w:r>
            <w:bookmarkEnd w:id="0"/>
            <w:bookmarkEnd w:id="1"/>
          </w:p>
        </w:tc>
        <w:tc>
          <w:tcPr>
            <w:tcW w:w="1935" w:type="pct"/>
            <w:tcBorders>
              <w:top w:val="nil"/>
              <w:left w:val="nil"/>
              <w:bottom w:val="nil"/>
              <w:right w:val="nil"/>
            </w:tcBorders>
            <w:vAlign w:val="center"/>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Times New Roman" w:eastAsia="Times New Roman" w:hAnsi="Times New Roman" w:cs="Times New Roman"/>
                <w:sz w:val="24"/>
                <w:szCs w:val="24"/>
              </w:rPr>
              <w:t> </w:t>
            </w:r>
          </w:p>
        </w:tc>
      </w:tr>
      <w:tr w:rsidR="003772B6" w:rsidRPr="003772B6" w:rsidTr="003772B6">
        <w:trPr>
          <w:tblCellSpacing w:w="0" w:type="dxa"/>
        </w:trPr>
        <w:tc>
          <w:tcPr>
            <w:tcW w:w="0" w:type="auto"/>
            <w:tcBorders>
              <w:top w:val="nil"/>
              <w:left w:val="nil"/>
              <w:bottom w:val="nil"/>
              <w:right w:val="nil"/>
            </w:tcBorders>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Times New Roman" w:eastAsia="Times New Roman" w:hAnsi="Times New Roman" w:cs="Times New Roman"/>
                <w:sz w:val="24"/>
                <w:szCs w:val="24"/>
              </w:rPr>
              <w:t xml:space="preserve">No. reg/ID </w:t>
            </w:r>
          </w:p>
        </w:tc>
        <w:tc>
          <w:tcPr>
            <w:tcW w:w="0" w:type="auto"/>
            <w:tcBorders>
              <w:top w:val="nil"/>
              <w:left w:val="nil"/>
              <w:bottom w:val="nil"/>
              <w:right w:val="nil"/>
            </w:tcBorders>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Times New Roman" w:eastAsia="Times New Roman" w:hAnsi="Times New Roman" w:cs="Times New Roman"/>
                <w:sz w:val="24"/>
                <w:szCs w:val="24"/>
              </w:rPr>
              <w:t>:</w:t>
            </w:r>
          </w:p>
        </w:tc>
        <w:tc>
          <w:tcPr>
            <w:tcW w:w="0" w:type="auto"/>
            <w:tcBorders>
              <w:top w:val="nil"/>
              <w:left w:val="nil"/>
              <w:bottom w:val="nil"/>
              <w:right w:val="nil"/>
            </w:tcBorders>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Times New Roman" w:eastAsia="Times New Roman" w:hAnsi="Times New Roman" w:cs="Times New Roman"/>
                <w:sz w:val="24"/>
                <w:szCs w:val="24"/>
              </w:rPr>
              <w:t>P00200200785</w:t>
            </w:r>
          </w:p>
        </w:tc>
        <w:tc>
          <w:tcPr>
            <w:tcW w:w="1935" w:type="pct"/>
            <w:tcBorders>
              <w:top w:val="nil"/>
              <w:left w:val="nil"/>
              <w:bottom w:val="nil"/>
              <w:right w:val="nil"/>
            </w:tcBorders>
            <w:vAlign w:val="center"/>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Times New Roman" w:eastAsia="Times New Roman" w:hAnsi="Times New Roman" w:cs="Times New Roman"/>
                <w:sz w:val="24"/>
                <w:szCs w:val="24"/>
              </w:rPr>
              <w:t>Tanggal Pendaftaran : 25 November 2002</w:t>
            </w:r>
          </w:p>
        </w:tc>
      </w:tr>
      <w:tr w:rsidR="003772B6" w:rsidRPr="003772B6" w:rsidTr="003772B6">
        <w:trPr>
          <w:tblCellSpacing w:w="0" w:type="dxa"/>
        </w:trPr>
        <w:tc>
          <w:tcPr>
            <w:tcW w:w="0" w:type="auto"/>
            <w:tcBorders>
              <w:top w:val="nil"/>
              <w:left w:val="nil"/>
              <w:bottom w:val="nil"/>
              <w:right w:val="nil"/>
            </w:tcBorders>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Times New Roman" w:eastAsia="Times New Roman" w:hAnsi="Times New Roman" w:cs="Times New Roman"/>
                <w:sz w:val="24"/>
                <w:szCs w:val="24"/>
              </w:rPr>
              <w:t>Inventor</w:t>
            </w:r>
          </w:p>
        </w:tc>
        <w:tc>
          <w:tcPr>
            <w:tcW w:w="0" w:type="auto"/>
            <w:tcBorders>
              <w:top w:val="nil"/>
              <w:left w:val="nil"/>
              <w:bottom w:val="nil"/>
              <w:right w:val="nil"/>
            </w:tcBorders>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Times New Roman" w:eastAsia="Times New Roman" w:hAnsi="Times New Roman" w:cs="Times New Roman"/>
                <w:sz w:val="24"/>
                <w:szCs w:val="24"/>
              </w:rPr>
              <w:t>:</w:t>
            </w:r>
          </w:p>
        </w:tc>
        <w:tc>
          <w:tcPr>
            <w:tcW w:w="0" w:type="auto"/>
            <w:tcBorders>
              <w:top w:val="nil"/>
              <w:left w:val="nil"/>
              <w:bottom w:val="nil"/>
              <w:right w:val="nil"/>
            </w:tcBorders>
            <w:vAlign w:val="center"/>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Times New Roman" w:eastAsia="Times New Roman" w:hAnsi="Times New Roman" w:cs="Times New Roman"/>
                <w:sz w:val="24"/>
                <w:szCs w:val="24"/>
              </w:rPr>
              <w:t>Dr. Ir. Krisnani Setyowati</w:t>
            </w:r>
          </w:p>
        </w:tc>
        <w:tc>
          <w:tcPr>
            <w:tcW w:w="0" w:type="auto"/>
            <w:tcBorders>
              <w:top w:val="nil"/>
              <w:left w:val="nil"/>
              <w:bottom w:val="nil"/>
              <w:right w:val="nil"/>
            </w:tcBorders>
            <w:vAlign w:val="center"/>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Times New Roman" w:eastAsia="Times New Roman" w:hAnsi="Times New Roman" w:cs="Times New Roman"/>
                <w:sz w:val="24"/>
                <w:szCs w:val="24"/>
              </w:rPr>
              <w:t>Jenis Paten : Paten</w:t>
            </w:r>
          </w:p>
        </w:tc>
      </w:tr>
      <w:tr w:rsidR="003772B6" w:rsidRPr="003772B6" w:rsidTr="003772B6">
        <w:trPr>
          <w:tblCellSpacing w:w="0" w:type="dxa"/>
        </w:trPr>
        <w:tc>
          <w:tcPr>
            <w:tcW w:w="0" w:type="auto"/>
            <w:gridSpan w:val="2"/>
            <w:tcBorders>
              <w:top w:val="nil"/>
              <w:left w:val="nil"/>
              <w:bottom w:val="nil"/>
              <w:right w:val="nil"/>
            </w:tcBorders>
            <w:vAlign w:val="center"/>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Times New Roman" w:eastAsia="Times New Roman" w:hAnsi="Times New Roman" w:cs="Times New Roman"/>
                <w:sz w:val="24"/>
                <w:szCs w:val="24"/>
              </w:rPr>
              <w:t> </w:t>
            </w:r>
          </w:p>
        </w:tc>
        <w:tc>
          <w:tcPr>
            <w:tcW w:w="0" w:type="auto"/>
            <w:gridSpan w:val="2"/>
            <w:tcBorders>
              <w:top w:val="nil"/>
              <w:left w:val="nil"/>
              <w:bottom w:val="nil"/>
              <w:right w:val="nil"/>
            </w:tcBorders>
            <w:vAlign w:val="center"/>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Times New Roman" w:eastAsia="Times New Roman" w:hAnsi="Times New Roman" w:cs="Times New Roman"/>
                <w:sz w:val="24"/>
                <w:szCs w:val="24"/>
              </w:rPr>
              <w:t> </w:t>
            </w:r>
          </w:p>
        </w:tc>
      </w:tr>
    </w:tbl>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p>
    <w:p w:rsidR="003772B6" w:rsidRPr="003772B6" w:rsidRDefault="003772B6" w:rsidP="003772B6">
      <w:pPr>
        <w:spacing w:after="0" w:afterAutospacing="0" w:line="240" w:lineRule="auto"/>
        <w:ind w:left="0" w:right="0"/>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tblPr>
      <w:tblGrid>
        <w:gridCol w:w="7998"/>
      </w:tblGrid>
      <w:tr w:rsidR="003772B6" w:rsidRPr="003772B6" w:rsidTr="003772B6">
        <w:trPr>
          <w:tblCellSpacing w:w="0" w:type="dxa"/>
        </w:trPr>
        <w:tc>
          <w:tcPr>
            <w:tcW w:w="0" w:type="auto"/>
            <w:shd w:val="clear" w:color="auto" w:fill="009900"/>
            <w:vAlign w:val="center"/>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Times New Roman" w:eastAsia="Times New Roman" w:hAnsi="Times New Roman" w:cs="Times New Roman"/>
                <w:sz w:val="24"/>
                <w:szCs w:val="24"/>
              </w:rPr>
              <w:t>Abstrak</w:t>
            </w:r>
          </w:p>
        </w:tc>
      </w:tr>
      <w:tr w:rsidR="003772B6" w:rsidRPr="003772B6" w:rsidTr="003772B6">
        <w:trPr>
          <w:tblCellSpacing w:w="0" w:type="dxa"/>
        </w:trPr>
        <w:tc>
          <w:tcPr>
            <w:tcW w:w="0" w:type="auto"/>
            <w:vAlign w:val="center"/>
            <w:hideMark/>
          </w:tcPr>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Times New Roman" w:eastAsia="Times New Roman" w:hAnsi="Times New Roman" w:cs="Times New Roman"/>
                <w:sz w:val="24"/>
                <w:szCs w:val="24"/>
              </w:rPr>
              <w:t> </w:t>
            </w:r>
          </w:p>
          <w:p w:rsidR="003772B6" w:rsidRPr="003772B6" w:rsidRDefault="003772B6" w:rsidP="003772B6">
            <w:pPr>
              <w:spacing w:after="0" w:afterAutospacing="0" w:line="240" w:lineRule="auto"/>
              <w:ind w:left="0" w:right="0"/>
              <w:jc w:val="both"/>
              <w:rPr>
                <w:rFonts w:ascii="Times New Roman" w:eastAsia="Times New Roman" w:hAnsi="Times New Roman" w:cs="Times New Roman"/>
                <w:sz w:val="24"/>
                <w:szCs w:val="24"/>
              </w:rPr>
            </w:pPr>
            <w:r w:rsidRPr="003772B6">
              <w:rPr>
                <w:rFonts w:ascii="Verdana" w:eastAsia="Times New Roman" w:hAnsi="Verdana" w:cs="Times New Roman"/>
                <w:sz w:val="20"/>
                <w:szCs w:val="20"/>
              </w:rPr>
              <w:t>Minyak jarak yang diperoleh dari ekstraksi biji tanaman jarak (</w:t>
            </w:r>
            <w:r w:rsidRPr="003772B6">
              <w:rPr>
                <w:rFonts w:ascii="Verdana" w:eastAsia="Times New Roman" w:hAnsi="Verdana" w:cs="Times New Roman"/>
                <w:i/>
                <w:iCs/>
                <w:sz w:val="20"/>
                <w:szCs w:val="20"/>
              </w:rPr>
              <w:t>Iricinus communisI</w:t>
            </w:r>
            <w:r w:rsidRPr="003772B6">
              <w:rPr>
                <w:rFonts w:ascii="Verdana" w:eastAsia="Times New Roman" w:hAnsi="Verdana" w:cs="Times New Roman"/>
                <w:sz w:val="20"/>
                <w:szCs w:val="20"/>
              </w:rPr>
              <w:t>) merupakan senyawa yang sangat mudah dimodifikasi (</w:t>
            </w:r>
            <w:r w:rsidRPr="003772B6">
              <w:rPr>
                <w:rFonts w:ascii="Verdana" w:eastAsia="Times New Roman" w:hAnsi="Verdana" w:cs="Times New Roman"/>
                <w:i/>
                <w:iCs/>
                <w:sz w:val="20"/>
                <w:szCs w:val="20"/>
              </w:rPr>
              <w:t>versatile compound</w:t>
            </w:r>
            <w:r w:rsidRPr="003772B6">
              <w:rPr>
                <w:rFonts w:ascii="Verdana" w:eastAsia="Times New Roman" w:hAnsi="Verdana" w:cs="Times New Roman"/>
                <w:sz w:val="20"/>
                <w:szCs w:val="20"/>
              </w:rPr>
              <w:t>). Hal tersebut disebabkan oleh asam risinoleat yang merupakan fraksi asam lemak terbesar di dalam minyak jarak (sekitar 90 persen) memiliki 3 komponen aktif, yaitu gugus karboksilat, ikatan rangkap, dan gugus hidroksil.</w:t>
            </w:r>
          </w:p>
          <w:p w:rsidR="003772B6" w:rsidRPr="003772B6" w:rsidRDefault="003772B6" w:rsidP="003772B6">
            <w:pPr>
              <w:spacing w:after="0" w:afterAutospacing="0" w:line="240" w:lineRule="auto"/>
              <w:ind w:left="0" w:right="0"/>
              <w:jc w:val="both"/>
              <w:rPr>
                <w:rFonts w:ascii="Times New Roman" w:eastAsia="Times New Roman" w:hAnsi="Times New Roman" w:cs="Times New Roman"/>
                <w:sz w:val="24"/>
                <w:szCs w:val="24"/>
              </w:rPr>
            </w:pPr>
            <w:r w:rsidRPr="003772B6">
              <w:rPr>
                <w:rFonts w:ascii="Verdana" w:eastAsia="Times New Roman" w:hAnsi="Verdana" w:cs="Times New Roman"/>
                <w:sz w:val="20"/>
                <w:szCs w:val="20"/>
              </w:rPr>
              <w:t>          Salah satu proses yang memanfaatkan keunggulan tersebut adalah dehidrasi minyak jarak. Dehidrasi minyak jarak merupakan proses pemutusan gugus hidroksil untuk membentuk ikatan rangkap baru, sehingga terbentuk isomer terkonjugasi atau tersolasi dengan ikata rangkap lainnya. Proses dehidrasi dapat mengubah minyak jarak dari minyak bukan pengering menjadi minyak pengering.</w:t>
            </w:r>
          </w:p>
          <w:p w:rsidR="003772B6" w:rsidRPr="003772B6" w:rsidRDefault="003772B6" w:rsidP="003772B6">
            <w:pPr>
              <w:spacing w:after="0" w:afterAutospacing="0" w:line="240" w:lineRule="auto"/>
              <w:ind w:left="0" w:right="0"/>
              <w:rPr>
                <w:rFonts w:ascii="Times New Roman" w:eastAsia="Times New Roman" w:hAnsi="Times New Roman" w:cs="Times New Roman"/>
                <w:sz w:val="24"/>
                <w:szCs w:val="24"/>
              </w:rPr>
            </w:pPr>
            <w:r w:rsidRPr="003772B6">
              <w:rPr>
                <w:rFonts w:ascii="Verdana" w:eastAsia="Times New Roman" w:hAnsi="Verdana" w:cs="Times New Roman"/>
                <w:sz w:val="20"/>
                <w:szCs w:val="20"/>
              </w:rPr>
              <w:t>Kristal garam asam natrium bisulfat (NaHSO</w:t>
            </w:r>
            <w:r w:rsidRPr="003772B6">
              <w:rPr>
                <w:rFonts w:ascii="Verdana" w:eastAsia="Times New Roman" w:hAnsi="Verdana" w:cs="Times New Roman"/>
                <w:sz w:val="20"/>
                <w:szCs w:val="20"/>
                <w:vertAlign w:val="subscript"/>
              </w:rPr>
              <w:t>4</w:t>
            </w:r>
            <w:r w:rsidRPr="003772B6">
              <w:rPr>
                <w:rFonts w:ascii="Verdana" w:eastAsia="Times New Roman" w:hAnsi="Verdana" w:cs="Times New Roman"/>
                <w:sz w:val="20"/>
                <w:szCs w:val="20"/>
              </w:rPr>
              <w:t>) dan silika di dalam atapulgit dapat digunakan sebagai katalis dehidrasi minyak jarak, selain itu bahan-bahan tersebut juga dapat digunakan sebagai katalis reaksi isomerisasi ikatan rangkap untuk membentuk ikatan rangkap yang terkonjugasi. Di lain pihak, alumunium dan magnesium di dalam atapulgit masing-masing dapat digunakan sebagai senyawa penghambat reaksi polimerisasi dan pengstabil warna.</w:t>
            </w:r>
          </w:p>
        </w:tc>
      </w:tr>
    </w:tbl>
    <w:p w:rsidR="001E67F8" w:rsidRDefault="001E67F8"/>
    <w:sectPr w:rsidR="001E67F8" w:rsidSect="00C36587">
      <w:pgSz w:w="11907" w:h="16840" w:code="9"/>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3772B6"/>
    <w:rsid w:val="001E67F8"/>
    <w:rsid w:val="002839F4"/>
    <w:rsid w:val="003772B6"/>
    <w:rsid w:val="003F2F3F"/>
    <w:rsid w:val="004522F8"/>
    <w:rsid w:val="00471ACC"/>
    <w:rsid w:val="004C3E5B"/>
    <w:rsid w:val="005D5A73"/>
    <w:rsid w:val="006C5F81"/>
    <w:rsid w:val="008D0F2C"/>
    <w:rsid w:val="00C36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line="276" w:lineRule="auto"/>
        <w:ind w:left="142" w:right="6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7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72B6"/>
    <w:rPr>
      <w:color w:val="0000FF"/>
      <w:u w:val="single"/>
    </w:rPr>
  </w:style>
  <w:style w:type="character" w:styleId="Strong">
    <w:name w:val="Strong"/>
    <w:basedOn w:val="DefaultParagraphFont"/>
    <w:uiPriority w:val="22"/>
    <w:qFormat/>
    <w:rsid w:val="003772B6"/>
    <w:rPr>
      <w:b/>
      <w:bCs/>
    </w:rPr>
  </w:style>
</w:styles>
</file>

<file path=word/webSettings.xml><?xml version="1.0" encoding="utf-8"?>
<w:webSettings xmlns:r="http://schemas.openxmlformats.org/officeDocument/2006/relationships" xmlns:w="http://schemas.openxmlformats.org/wordprocessingml/2006/main">
  <w:divs>
    <w:div w:id="41833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212</Words>
  <Characters>1210</Characters>
  <Application>Microsoft Office Word</Application>
  <DocSecurity>0</DocSecurity>
  <Lines>10</Lines>
  <Paragraphs>2</Paragraphs>
  <ScaleCrop>false</ScaleCrop>
  <Company>IPB</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Formulasi Campuran Natrium Bisulfat Sebagai Katalis Dehidrasi Minyak</dc:title>
  <dc:subject>IPB (Bogor Agricultural University)</dc:subject>
  <dc:creator>HKIIPB</dc:creator>
  <cp:keywords>IPB (Bogor Agricultural University)</cp:keywords>
  <dc:description/>
  <cp:lastModifiedBy>DKSI IPB</cp:lastModifiedBy>
  <cp:revision>2</cp:revision>
  <dcterms:created xsi:type="dcterms:W3CDTF">2010-04-06T06:50:00Z</dcterms:created>
  <dcterms:modified xsi:type="dcterms:W3CDTF">2010-04-12T07:59:00Z</dcterms:modified>
</cp:coreProperties>
</file>